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shd w:fill="FFFFFF" w:val="clear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StrongEmphasis"/>
          <w:color w:val="000000"/>
          <w:sz w:val="33"/>
          <w:szCs w:val="33"/>
        </w:rPr>
        <w:t xml:space="preserve">        </w:t>
      </w:r>
      <w:r>
        <w:rPr>
          <w:rStyle w:val="StrongEmphasis"/>
          <w:color w:val="000000"/>
          <w:sz w:val="33"/>
          <w:szCs w:val="33"/>
        </w:rPr>
        <w:t>Договор о задатке № ________</w:t>
      </w:r>
    </w:p>
    <w:p>
      <w:pPr>
        <w:pStyle w:val="Style22"/>
        <w:shd w:fill="FFFFFF" w:val="clear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cs="Verdana" w:ascii="Verdana" w:hAnsi="Verdana"/>
          <w:color w:val="000000"/>
          <w:sz w:val="17"/>
          <w:szCs w:val="17"/>
        </w:rPr>
        <w:t> </w:t>
      </w:r>
    </w:p>
    <w:p>
      <w:pPr>
        <w:pStyle w:val="Style22"/>
        <w:shd w:fill="FFFFFF" w:val="clear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>
      <w:pPr>
        <w:pStyle w:val="Style22"/>
        <w:shd w:fill="FFFFFF" w:val="clear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     </w:t>
      </w:r>
      <w:r>
        <w:rPr>
          <w:color w:val="000000"/>
          <w:sz w:val="21"/>
          <w:szCs w:val="21"/>
        </w:rPr>
        <w:t>ООО «Электронная торговая площадка», именуемое в дальнейшем «Оператор» 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(-ый) в дальнейшем «Заявитель», с другой стороны, заключили настоящий Договор о задатке (далее «Договор») о нижеследующем:</w:t>
      </w:r>
    </w:p>
    <w:p>
      <w:pPr>
        <w:pStyle w:val="Style22"/>
        <w:shd w:fill="FFFFFF" w:val="clear"/>
        <w:ind w:left="567" w:hanging="0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StrongEmphasis"/>
          <w:color w:val="000000"/>
          <w:sz w:val="21"/>
          <w:szCs w:val="21"/>
        </w:rPr>
        <w:t>1. Предмет Договора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«АРБбитЛот» по адресу https://torgi.arbbitlot.ru в сети Интернет (далее по тексту – ЭТП), в соответствии с Регламентом электронной площадки «АРБбитЛот»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StrongEmphasis"/>
          <w:color w:val="000000"/>
          <w:sz w:val="21"/>
          <w:szCs w:val="21"/>
        </w:rPr>
        <w:t>2. Порядок и сроки расчетов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>
      <w:pPr>
        <w:pStyle w:val="Normal"/>
        <w:numPr>
          <w:ilvl w:val="0"/>
          <w:numId w:val="3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>
      <w:pPr>
        <w:pStyle w:val="Normal"/>
        <w:numPr>
          <w:ilvl w:val="0"/>
          <w:numId w:val="3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«Совкомбанк» в г.Казани,БИК044525360.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fill="FFFFFF" w:val="clear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>
      <w:pPr>
        <w:pStyle w:val="Normal"/>
        <w:numPr>
          <w:ilvl w:val="0"/>
          <w:numId w:val="2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>
      <w:pPr>
        <w:pStyle w:val="Normal"/>
        <w:numPr>
          <w:ilvl w:val="0"/>
          <w:numId w:val="2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>
      <w:pPr>
        <w:pStyle w:val="Normal"/>
        <w:numPr>
          <w:ilvl w:val="0"/>
          <w:numId w:val="2"/>
        </w:numPr>
        <w:shd w:fill="FFFFFF" w:val="clear"/>
        <w:suppressAutoHyphens w:val="false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cs="Verdana" w:ascii="Verdana" w:hAnsi="Verdana"/>
          <w:color w:val="000000"/>
          <w:sz w:val="17"/>
          <w:szCs w:val="17"/>
        </w:rPr>
        <w:t> 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StrongEmphasis"/>
          <w:color w:val="000000"/>
          <w:sz w:val="21"/>
          <w:szCs w:val="21"/>
        </w:rPr>
        <w:t>3. Прочие условия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fill="FFFFFF" w:val="clear"/>
        </w:rPr>
        <w:t>Ploshadka-torgi@yandex.ru</w:t>
      </w:r>
      <w:r>
        <w:rPr>
          <w:color w:val="000000"/>
          <w:sz w:val="21"/>
          <w:szCs w:val="21"/>
        </w:rPr>
        <w:t>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«АРБбитЛот» (https://torgi.arbbitlot.ru).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>
      <w:pPr>
        <w:pStyle w:val="Style22"/>
        <w:shd w:fill="FFFFFF" w:val="clear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>
      <w:pPr>
        <w:pStyle w:val="Style22"/>
        <w:shd w:fill="FFFFFF" w:val="clear"/>
        <w:spacing w:before="0" w:after="0"/>
        <w:ind w:firstLine="567"/>
        <w:jc w:val="both"/>
        <w:rPr/>
      </w:pPr>
      <w:r>
        <w:rPr/>
        <w:t> </w:t>
      </w:r>
    </w:p>
    <w:tbl>
      <w:tblPr>
        <w:tblW w:w="9531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8"/>
        <w:gridCol w:w="4243"/>
      </w:tblGrid>
      <w:tr>
        <w:trPr>
          <w:trHeight w:val="6805" w:hRule="exact"/>
        </w:trPr>
        <w:tc>
          <w:tcPr>
            <w:tcW w:w="5288" w:type="dxa"/>
            <w:tcBorders/>
          </w:tcPr>
          <w:p>
            <w:pPr>
              <w:pStyle w:val="Tableparagraph"/>
              <w:spacing w:lineRule="exact" w:line="183" w:before="100" w:after="100"/>
              <w:ind w:left="200" w:hanging="0"/>
              <w:jc w:val="both"/>
              <w:rPr/>
            </w:pPr>
            <w:r>
              <w:rPr>
                <w:rStyle w:val="StrongEmphasis"/>
                <w:bCs w:val="false"/>
                <w:sz w:val="18"/>
                <w:szCs w:val="22"/>
              </w:rPr>
              <w:t>Заявитель:</w:t>
            </w:r>
          </w:p>
          <w:p>
            <w:pPr>
              <w:pStyle w:val="Tableparagraph"/>
              <w:spacing w:lineRule="exact" w:line="183"/>
              <w:ind w:left="200" w:hanging="0"/>
              <w:jc w:val="both"/>
              <w:rPr>
                <w:sz w:val="18"/>
                <w:szCs w:val="22"/>
              </w:rPr>
            </w:pPr>
            <w:r>
              <w:rPr>
                <w:rStyle w:val="StrongEmphasis"/>
                <w:bCs w:val="false"/>
                <w:sz w:val="18"/>
                <w:szCs w:val="22"/>
              </w:rPr>
              <w:t>___________________________________________________</w:t>
            </w:r>
          </w:p>
          <w:p>
            <w:pPr>
              <w:pStyle w:val="Tableparagraph"/>
              <w:spacing w:before="9" w:after="0"/>
              <w:ind w:left="200" w:right="745" w:hanging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>
            <w:pPr>
              <w:pStyle w:val="Tableparagraph"/>
              <w:spacing w:before="9" w:after="10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tabs>
                <w:tab w:val="clear" w:pos="720"/>
                <w:tab w:val="left" w:pos="4799" w:leader="none"/>
                <w:tab w:val="left" w:pos="4830" w:leader="none"/>
              </w:tabs>
              <w:spacing w:before="9" w:after="0"/>
              <w:ind w:left="200" w:right="451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  <w:tab/>
            </w:r>
          </w:p>
          <w:p>
            <w:pPr>
              <w:pStyle w:val="Tableparagraph"/>
              <w:spacing w:lineRule="exact" w:line="218" w:before="0" w:after="0"/>
              <w:ind w:left="1688" w:right="745" w:hanging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>
            <w:pPr>
              <w:pStyle w:val="Tableparagraph"/>
              <w:spacing w:before="11" w:after="10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tabs>
                <w:tab w:val="clear" w:pos="720"/>
                <w:tab w:val="left" w:pos="2684" w:leader="none"/>
                <w:tab w:val="left" w:pos="3226" w:leader="none"/>
                <w:tab w:val="left" w:pos="4727" w:leader="none"/>
              </w:tabs>
              <w:spacing w:before="1" w:after="0"/>
              <w:ind w:left="200" w:right="514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  <w:tab/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rStyle w:val="Spelle"/>
                <w:sz w:val="18"/>
                <w:szCs w:val="22"/>
              </w:rPr>
              <w:t>подр</w:t>
            </w:r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2" w:after="10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spacing w:lineRule="exact" w:line="219"/>
              <w:ind w:left="200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>
            <w:pPr>
              <w:pStyle w:val="Tableparagraph"/>
              <w:tabs>
                <w:tab w:val="clear" w:pos="720"/>
                <w:tab w:val="left" w:pos="4708" w:leader="none"/>
                <w:tab w:val="left" w:pos="4751" w:leader="none"/>
              </w:tabs>
              <w:spacing w:before="0" w:after="0"/>
              <w:ind w:left="200" w:right="528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  <w:tab/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</w:p>
          <w:p>
            <w:pPr>
              <w:pStyle w:val="Tableparagraph"/>
              <w:tabs>
                <w:tab w:val="clear" w:pos="720"/>
                <w:tab w:val="left" w:pos="4699" w:leader="none"/>
              </w:tabs>
              <w:spacing w:lineRule="exact" w:line="218"/>
              <w:ind w:left="200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</w:p>
          <w:p>
            <w:pPr>
              <w:pStyle w:val="Tableparagraph"/>
              <w:spacing w:before="2" w:after="10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tabs>
                <w:tab w:val="clear" w:pos="720"/>
                <w:tab w:val="left" w:pos="4583" w:leader="none"/>
              </w:tabs>
              <w:spacing w:lineRule="exact" w:line="219"/>
              <w:ind w:left="200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  <w:tab/>
            </w:r>
          </w:p>
          <w:p>
            <w:pPr>
              <w:pStyle w:val="Tableparagraph"/>
              <w:tabs>
                <w:tab w:val="clear" w:pos="720"/>
                <w:tab w:val="left" w:pos="4523" w:leader="none"/>
              </w:tabs>
              <w:spacing w:lineRule="exact" w:line="219"/>
              <w:ind w:left="200" w:hanging="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</w:r>
          </w:p>
          <w:p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spacing w:before="11" w:after="10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>
            <w:pPr>
              <w:pStyle w:val="Tableparagraph"/>
              <w:tabs>
                <w:tab w:val="clear" w:pos="720"/>
                <w:tab w:val="left" w:pos="2385" w:leader="none"/>
                <w:tab w:val="left" w:pos="2589" w:leader="none"/>
                <w:tab w:val="left" w:pos="4470" w:leader="none"/>
              </w:tabs>
              <w:spacing w:before="0" w:after="0"/>
              <w:ind w:left="975" w:right="745" w:hanging="776"/>
              <w:rPr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  <w:tab/>
              <w:tab/>
            </w:r>
            <w:r>
              <w:rPr>
                <w:sz w:val="18"/>
                <w:szCs w:val="22"/>
              </w:rPr>
              <w:t>/ подпись</w:t>
              <w:tab/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>
            <w:pPr>
              <w:pStyle w:val="Tableparagraph"/>
              <w:spacing w:lineRule="exact" w:line="218" w:before="100" w:after="100"/>
              <w:ind w:left="200" w:hanging="0"/>
              <w:jc w:val="both"/>
              <w:rPr/>
            </w:pPr>
            <w:r>
              <w:rPr>
                <w:rStyle w:val="Spelle"/>
                <w:sz w:val="18"/>
                <w:szCs w:val="22"/>
              </w:rPr>
              <w:t>м.п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  <w:tcBorders/>
          </w:tcPr>
          <w:p>
            <w:pPr>
              <w:pStyle w:val="Tableparagraph"/>
              <w:spacing w:lineRule="exact" w:line="183" w:before="0" w:after="0"/>
              <w:ind w:left="493" w:right="305" w:hanging="0"/>
              <w:rPr>
                <w:sz w:val="18"/>
                <w:szCs w:val="22"/>
              </w:rPr>
            </w:pPr>
            <w:r>
              <w:rPr>
                <w:rStyle w:val="StrongEmphasis"/>
                <w:bCs w:val="false"/>
                <w:sz w:val="18"/>
                <w:szCs w:val="22"/>
              </w:rPr>
              <w:t>Оператор: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«Совкомбанк»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cs="Verdana" w:ascii="Verdana" w:hAnsi="Verdana"/>
                <w:color w:val="333333"/>
                <w:sz w:val="17"/>
                <w:szCs w:val="17"/>
              </w:rPr>
              <w:t> </w:t>
            </w:r>
          </w:p>
          <w:p>
            <w:pPr>
              <w:pStyle w:val="Style22"/>
              <w:shd w:fill="FFFFFF" w:val="clear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Директор____________М.В.Думпе</w:t>
            </w:r>
          </w:p>
          <w:p>
            <w:pPr>
              <w:pStyle w:val="Tableparagraph"/>
              <w:tabs>
                <w:tab w:val="clear" w:pos="720"/>
                <w:tab w:val="left" w:pos="2587" w:leader="none"/>
              </w:tabs>
              <w:spacing w:lineRule="atLeast" w:line="440" w:before="0" w:after="0"/>
              <w:ind w:left="493" w:right="1168" w:hanging="0"/>
              <w:rPr>
                <w:rFonts w:ascii="Verdana" w:hAnsi="Verdana" w:cs="Verdana"/>
                <w:color w:val="333333"/>
                <w:sz w:val="18"/>
                <w:szCs w:val="22"/>
              </w:rPr>
            </w:pPr>
            <w:r>
              <w:rPr>
                <w:rFonts w:cs="Verdana" w:ascii="Verdana" w:hAnsi="Verdana"/>
                <w:color w:val="333333"/>
                <w:sz w:val="18"/>
                <w:szCs w:val="22"/>
              </w:rPr>
            </w:r>
          </w:p>
        </w:tc>
      </w:tr>
    </w:tbl>
    <w:p>
      <w:pPr>
        <w:pStyle w:val="Style22"/>
        <w:shd w:fill="FFFFFF" w:val="clear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cs="Verdana" w:ascii="Verdana" w:hAnsi="Verdana"/>
          <w:color w:val="000000"/>
          <w:sz w:val="17"/>
          <w:szCs w:val="17"/>
        </w:rPr>
        <w:t> </w:t>
      </w:r>
    </w:p>
    <w:p>
      <w:pPr>
        <w:pStyle w:val="Normal"/>
        <w:keepNext w:val="true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cs="Verdana" w:ascii="Verdana" w:hAnsi="Verdana"/>
          <w:color w:val="000000"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Verdana">
    <w:charset w:val="cc"/>
    <w:family w:val="swiss"/>
    <w:pitch w:val="variable"/>
  </w:font>
  <w:font w:name="Courier New">
    <w:charset w:val="cc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/>
      </w:rPr>
    </w:pPr>
    <w:r>
      <w:rPr>
        <w:b/>
      </w:rPr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Text">
    <w:name w:val="text"/>
    <w:basedOn w:val="1"/>
    <w:qFormat/>
    <w:rPr/>
  </w:style>
  <w:style w:type="character" w:styleId="Style15">
    <w:name w:val="Верхний колонтитул Знак"/>
    <w:basedOn w:val="1"/>
    <w:qFormat/>
    <w:rPr/>
  </w:style>
  <w:style w:type="character" w:styleId="Style16">
    <w:name w:val="Нижний колонтитул Знак"/>
    <w:basedOn w:val="1"/>
    <w:qFormat/>
    <w:rPr/>
  </w:style>
  <w:style w:type="character" w:styleId="InternetLink">
    <w:name w:val="Hyperlink"/>
    <w:rPr>
      <w:color w:val="0563C1"/>
      <w:u w:val="single"/>
    </w:rPr>
  </w:style>
  <w:style w:type="character" w:styleId="Spelle">
    <w:name w:val="spelle"/>
    <w:qFormat/>
    <w:rPr/>
  </w:style>
  <w:style w:type="character" w:styleId="StrongEmphasis">
    <w:name w:val="Strong"/>
    <w:qFormat/>
    <w:rPr>
      <w:b/>
      <w:bCs/>
    </w:rPr>
  </w:style>
  <w:style w:type="character" w:styleId="Grame">
    <w:name w:val="grame"/>
    <w:qFormat/>
    <w:rPr/>
  </w:style>
  <w:style w:type="paragraph" w:styleId="Heading">
    <w:name w:val="Heading"/>
    <w:basedOn w:val="Normal"/>
    <w:next w:val="TextBody"/>
    <w:qFormat/>
    <w:pPr>
      <w:jc w:val="center"/>
    </w:pPr>
    <w:rPr>
      <w:sz w:val="24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TextBodyIndent">
    <w:name w:val="Body Text Indent"/>
    <w:basedOn w:val="Normal"/>
    <w:pPr>
      <w:ind w:left="0" w:right="0" w:firstLine="708"/>
      <w:jc w:val="both"/>
    </w:pPr>
    <w:rPr>
      <w:sz w:val="24"/>
      <w:szCs w:val="24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21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Обычный (веб)"/>
    <w:basedOn w:val="Normal"/>
    <w:qFormat/>
    <w:pPr>
      <w:suppressAutoHyphens w:val="false"/>
      <w:spacing w:before="100" w:after="100"/>
    </w:pPr>
    <w:rPr>
      <w:rFonts w:eastAsia="Times New Roman"/>
      <w:sz w:val="24"/>
      <w:szCs w:val="24"/>
    </w:rPr>
  </w:style>
  <w:style w:type="paragraph" w:styleId="Tableparagraph">
    <w:name w:val="tableparagraph"/>
    <w:basedOn w:val="Normal"/>
    <w:qFormat/>
    <w:pPr>
      <w:suppressAutoHyphens w:val="false"/>
      <w:spacing w:before="100" w:after="100"/>
    </w:pPr>
    <w:rPr>
      <w:rFonts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2021-10-08T11:32:00Z</dcterms:created>
  <dc:creator>Reanimator 98</dc:creator>
  <dc:description/>
  <cp:keywords/>
  <dc:language>en-US</dc:language>
  <cp:lastModifiedBy>Пользователь</cp:lastModifiedBy>
  <cp:lastPrinted>2017-03-17T19:23:00Z</cp:lastPrinted>
  <dcterms:modified xsi:type="dcterms:W3CDTF">2024-04-10T15:47:00Z</dcterms:modified>
  <cp:revision>12</cp:revision>
  <dc:subject/>
  <dc:title>ДОГОВОР О ЗАДАТКЕ No</dc:title>
</cp:coreProperties>
</file>